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06" w:rsidRPr="00DE1F06" w:rsidRDefault="00DE1F06" w:rsidP="00DE1F06">
      <w:pPr>
        <w:spacing w:after="200" w:line="276" w:lineRule="auto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Satzung</w:t>
      </w:r>
    </w:p>
    <w:p w:rsidR="00DE1F06" w:rsidRPr="00DE1F06" w:rsidRDefault="00DE1F06" w:rsidP="00DE1F06">
      <w:pPr>
        <w:spacing w:after="200" w:line="276" w:lineRule="auto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 xml:space="preserve">der Samtgemeinde „Altes Amt Lemförde“ über die Erhebung einer Benutzungsgebühr für die Inanspruchnahme der Ferienbetreuung an der Grundschule Lemförde </w:t>
      </w:r>
      <w:r w:rsidRPr="00DE1F06">
        <w:rPr>
          <w:rFonts w:ascii="Arial" w:eastAsia="Times New Roman" w:hAnsi="Arial" w:cs="Arial"/>
          <w:b/>
          <w:lang w:eastAsia="de-DE"/>
        </w:rPr>
        <w:br/>
      </w:r>
    </w:p>
    <w:p w:rsidR="00DE1F06" w:rsidRPr="00DE1F06" w:rsidRDefault="00DE1F06" w:rsidP="00DE1F06">
      <w:pPr>
        <w:spacing w:after="200" w:line="276" w:lineRule="auto"/>
        <w:rPr>
          <w:rFonts w:ascii="Arial" w:eastAsia="Times New Roman" w:hAnsi="Arial" w:cs="Arial"/>
          <w:lang w:eastAsia="de-DE"/>
        </w:rPr>
      </w:pPr>
    </w:p>
    <w:p w:rsidR="00DE1F06" w:rsidRPr="00DE1F06" w:rsidRDefault="00DE1F06" w:rsidP="00DE1F06">
      <w:pPr>
        <w:spacing w:after="200" w:line="276" w:lineRule="auto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Aufgrund des § 10 des Nds. Kommunalverfassungsgesetzes (NKomVG) vom 17.12.2010 (Nds. GVBl. S. 576), zuletzt geändert durch Art. 2 des Gesetzes vom 11. Oktober 2023 (Nds. GVBl. S. 250) und der §§ 2 und 5 des Nds. Kommunalabgabengesetzes (NKAG) vom        2</w:t>
      </w:r>
      <w:r w:rsidR="00C17742">
        <w:rPr>
          <w:rFonts w:ascii="Arial" w:eastAsia="Times New Roman" w:hAnsi="Arial" w:cs="Arial"/>
          <w:lang w:eastAsia="de-DE"/>
        </w:rPr>
        <w:t>0</w:t>
      </w:r>
      <w:r w:rsidRPr="00DE1F06">
        <w:rPr>
          <w:rFonts w:ascii="Arial" w:eastAsia="Times New Roman" w:hAnsi="Arial" w:cs="Arial"/>
          <w:lang w:eastAsia="de-DE"/>
        </w:rPr>
        <w:t xml:space="preserve">. </w:t>
      </w:r>
      <w:r w:rsidR="00C17742">
        <w:rPr>
          <w:rFonts w:ascii="Arial" w:eastAsia="Times New Roman" w:hAnsi="Arial" w:cs="Arial"/>
          <w:lang w:eastAsia="de-DE"/>
        </w:rPr>
        <w:t>April 2017</w:t>
      </w:r>
      <w:r w:rsidRPr="00DE1F06">
        <w:rPr>
          <w:rFonts w:ascii="Arial" w:eastAsia="Times New Roman" w:hAnsi="Arial" w:cs="Arial"/>
          <w:lang w:eastAsia="de-DE"/>
        </w:rPr>
        <w:t xml:space="preserve"> (Nds. GVBl S. </w:t>
      </w:r>
      <w:r w:rsidR="00C17742">
        <w:rPr>
          <w:rFonts w:ascii="Arial" w:eastAsia="Times New Roman" w:hAnsi="Arial" w:cs="Arial"/>
          <w:lang w:eastAsia="de-DE"/>
        </w:rPr>
        <w:t>12</w:t>
      </w:r>
      <w:r w:rsidRPr="00DE1F06">
        <w:rPr>
          <w:rFonts w:ascii="Arial" w:eastAsia="Times New Roman" w:hAnsi="Arial" w:cs="Arial"/>
          <w:lang w:eastAsia="de-DE"/>
        </w:rPr>
        <w:t xml:space="preserve">1), zuletzt geändert durch Art. 4 des Gesetzes vom       </w:t>
      </w:r>
      <w:r w:rsidR="00C17742">
        <w:rPr>
          <w:rFonts w:ascii="Arial" w:eastAsia="Times New Roman" w:hAnsi="Arial" w:cs="Arial"/>
          <w:lang w:eastAsia="de-DE"/>
        </w:rPr>
        <w:t xml:space="preserve">  </w:t>
      </w:r>
      <w:r w:rsidRPr="00DE1F06">
        <w:rPr>
          <w:rFonts w:ascii="Arial" w:eastAsia="Times New Roman" w:hAnsi="Arial" w:cs="Arial"/>
          <w:lang w:eastAsia="de-DE"/>
        </w:rPr>
        <w:t xml:space="preserve">   22. September 2022 (Nds. GVBl. S. 589), hat der </w:t>
      </w:r>
      <w:r w:rsidR="00C17742">
        <w:rPr>
          <w:rFonts w:ascii="Arial" w:eastAsia="Times New Roman" w:hAnsi="Arial" w:cs="Arial"/>
          <w:lang w:eastAsia="de-DE"/>
        </w:rPr>
        <w:t xml:space="preserve">Rat der </w:t>
      </w:r>
      <w:r w:rsidRPr="00DE1F06">
        <w:rPr>
          <w:rFonts w:ascii="Arial" w:eastAsia="Times New Roman" w:hAnsi="Arial" w:cs="Arial"/>
          <w:lang w:eastAsia="de-DE"/>
        </w:rPr>
        <w:t>Samtgemeinde</w:t>
      </w:r>
      <w:r w:rsidR="00C17742">
        <w:rPr>
          <w:rFonts w:ascii="Arial" w:eastAsia="Times New Roman" w:hAnsi="Arial" w:cs="Arial"/>
          <w:lang w:eastAsia="de-DE"/>
        </w:rPr>
        <w:t xml:space="preserve"> „Altes Amt Lemförde“</w:t>
      </w:r>
      <w:r w:rsidRPr="00DE1F06">
        <w:rPr>
          <w:rFonts w:ascii="Arial" w:eastAsia="Times New Roman" w:hAnsi="Arial" w:cs="Arial"/>
          <w:lang w:eastAsia="de-DE"/>
        </w:rPr>
        <w:t xml:space="preserve"> in seiner Sitzung am 27.02.2024 die Satzung über die Erhebung einer Benutzungsgebühr für die Inanspruchnahme der Ferienbetreuung an der Grundschule Lemförde beschlossen:</w:t>
      </w:r>
    </w:p>
    <w:p w:rsidR="00DE1F06" w:rsidRPr="00DE1F06" w:rsidRDefault="00DE1F06" w:rsidP="00DE1F06">
      <w:pPr>
        <w:spacing w:after="200" w:line="276" w:lineRule="auto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§ 1</w:t>
      </w:r>
    </w:p>
    <w:p w:rsidR="00DE1F06" w:rsidRPr="00DE1F06" w:rsidRDefault="00DE1F06" w:rsidP="00DE1F06">
      <w:pPr>
        <w:spacing w:after="200" w:line="276" w:lineRule="auto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Benutzungsgebühr</w:t>
      </w:r>
    </w:p>
    <w:p w:rsidR="00DE1F06" w:rsidRPr="00DE1F06" w:rsidRDefault="00DE1F06" w:rsidP="00DE1F06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Die Samtgemeinde „Altes Amt Lemförde“ erhebt für die Inanspruchnahme der Ferienbetreuung an der Grundschule Lemförde nach Maßgabe d</w:t>
      </w:r>
      <w:r w:rsidR="00C17742">
        <w:rPr>
          <w:rFonts w:ascii="Arial" w:eastAsia="Times New Roman" w:hAnsi="Arial" w:cs="Arial"/>
          <w:lang w:eastAsia="de-DE"/>
        </w:rPr>
        <w:t>ieser Satzung</w:t>
      </w:r>
      <w:r w:rsidRPr="00DE1F06">
        <w:rPr>
          <w:rFonts w:ascii="Arial" w:eastAsia="Times New Roman" w:hAnsi="Arial" w:cs="Arial"/>
          <w:lang w:eastAsia="de-DE"/>
        </w:rPr>
        <w:t xml:space="preserve"> eine Benutzungsgebühr. Durch die Gebühr sollen die Kosten für die Nutzung des Angebotes teilweise gedeckt werden. Von einer kostendeckenden Gebühr wird im öffe</w:t>
      </w:r>
      <w:r w:rsidR="00C17742">
        <w:rPr>
          <w:rFonts w:ascii="Arial" w:eastAsia="Times New Roman" w:hAnsi="Arial" w:cs="Arial"/>
          <w:lang w:eastAsia="de-DE"/>
        </w:rPr>
        <w:t xml:space="preserve">ntlichen Interesse abgesehen. </w:t>
      </w:r>
      <w:r w:rsidR="00C17742">
        <w:rPr>
          <w:rFonts w:ascii="Arial" w:eastAsia="Times New Roman" w:hAnsi="Arial" w:cs="Arial"/>
          <w:lang w:eastAsia="de-DE"/>
        </w:rPr>
        <w:br/>
      </w:r>
    </w:p>
    <w:p w:rsidR="00DE1F06" w:rsidRDefault="00DE1F06" w:rsidP="00DE1F06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 xml:space="preserve">Für die Betreuung </w:t>
      </w:r>
      <w:r w:rsidR="00575E3B">
        <w:rPr>
          <w:rFonts w:ascii="Arial" w:eastAsia="Times New Roman" w:hAnsi="Arial" w:cs="Arial"/>
          <w:lang w:eastAsia="de-DE"/>
        </w:rPr>
        <w:t>im Rahmen</w:t>
      </w:r>
      <w:r w:rsidRPr="00DE1F06">
        <w:rPr>
          <w:rFonts w:ascii="Arial" w:eastAsia="Times New Roman" w:hAnsi="Arial" w:cs="Arial"/>
          <w:lang w:eastAsia="de-DE"/>
        </w:rPr>
        <w:t xml:space="preserve"> der Ferienbetreuung wird eine Gebühr in Höhe von 65,00 € pro Ferienwoche erhoben. </w:t>
      </w:r>
      <w:r w:rsidR="00575E3B">
        <w:rPr>
          <w:rFonts w:ascii="Arial" w:eastAsia="Times New Roman" w:hAnsi="Arial" w:cs="Arial"/>
          <w:lang w:eastAsia="de-DE"/>
        </w:rPr>
        <w:br/>
      </w:r>
    </w:p>
    <w:p w:rsidR="00575E3B" w:rsidRPr="00DE1F06" w:rsidRDefault="00575E3B" w:rsidP="00DE1F06">
      <w:pPr>
        <w:numPr>
          <w:ilvl w:val="0"/>
          <w:numId w:val="1"/>
        </w:numPr>
        <w:spacing w:after="200" w:line="276" w:lineRule="auto"/>
        <w:contextualSpacing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Zusätzlich wird eine Gebühr in Höhe von 5,00 € pro Ferienwoche für die Ausgestaltung von besonderen Aktivitäten (</w:t>
      </w:r>
      <w:r w:rsidR="00C17742">
        <w:rPr>
          <w:rFonts w:ascii="Arial" w:eastAsia="Times New Roman" w:hAnsi="Arial" w:cs="Arial"/>
          <w:lang w:eastAsia="de-DE"/>
        </w:rPr>
        <w:t>wie z. B. Ausfl</w:t>
      </w:r>
      <w:r w:rsidR="00D2369C">
        <w:rPr>
          <w:rFonts w:ascii="Arial" w:eastAsia="Times New Roman" w:hAnsi="Arial" w:cs="Arial"/>
          <w:lang w:eastAsia="de-DE"/>
        </w:rPr>
        <w:t>ü</w:t>
      </w:r>
      <w:r w:rsidR="00C17742">
        <w:rPr>
          <w:rFonts w:ascii="Arial" w:eastAsia="Times New Roman" w:hAnsi="Arial" w:cs="Arial"/>
          <w:lang w:eastAsia="de-DE"/>
        </w:rPr>
        <w:t>g</w:t>
      </w:r>
      <w:r w:rsidR="00D2369C">
        <w:rPr>
          <w:rFonts w:ascii="Arial" w:eastAsia="Times New Roman" w:hAnsi="Arial" w:cs="Arial"/>
          <w:lang w:eastAsia="de-DE"/>
        </w:rPr>
        <w:t>e</w:t>
      </w:r>
      <w:bookmarkStart w:id="0" w:name="_GoBack"/>
      <w:bookmarkEnd w:id="0"/>
      <w:r>
        <w:rPr>
          <w:rFonts w:ascii="Arial" w:eastAsia="Times New Roman" w:hAnsi="Arial" w:cs="Arial"/>
          <w:lang w:eastAsia="de-DE"/>
        </w:rPr>
        <w:t xml:space="preserve"> oder ähnliches)</w:t>
      </w:r>
    </w:p>
    <w:p w:rsidR="00575E3B" w:rsidRPr="00DE1F06" w:rsidRDefault="00575E3B" w:rsidP="00DE1F06">
      <w:pPr>
        <w:spacing w:after="200" w:line="276" w:lineRule="auto"/>
        <w:ind w:left="720"/>
        <w:contextualSpacing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erhoben.</w:t>
      </w:r>
      <w:r w:rsidR="00784D49">
        <w:rPr>
          <w:rFonts w:ascii="Arial" w:eastAsia="Times New Roman" w:hAnsi="Arial" w:cs="Arial"/>
          <w:lang w:eastAsia="de-DE"/>
        </w:rPr>
        <w:br/>
      </w:r>
    </w:p>
    <w:p w:rsidR="00DE1F06" w:rsidRPr="00DE1F06" w:rsidRDefault="00DE1F06" w:rsidP="00D358BE">
      <w:pPr>
        <w:spacing w:after="200" w:line="360" w:lineRule="auto"/>
        <w:ind w:left="720"/>
        <w:contextualSpacing/>
        <w:jc w:val="center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§ 2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Gebührenschuldner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 xml:space="preserve">Gebührenschuldner sind die Erziehungsberechtigten, deren Kind/Kinder in die Ferienbetreuung aufgenommen worden </w:t>
      </w:r>
      <w:r w:rsidR="003B2E46">
        <w:rPr>
          <w:rFonts w:ascii="Arial" w:eastAsia="Times New Roman" w:hAnsi="Arial" w:cs="Arial"/>
          <w:lang w:eastAsia="de-DE"/>
        </w:rPr>
        <w:t>ist/</w:t>
      </w:r>
      <w:r w:rsidRPr="00DE1F06">
        <w:rPr>
          <w:rFonts w:ascii="Arial" w:eastAsia="Times New Roman" w:hAnsi="Arial" w:cs="Arial"/>
          <w:lang w:eastAsia="de-DE"/>
        </w:rPr>
        <w:t xml:space="preserve">sind. Mehrere Gebührenschuldner haften als Gesamtschuldner. </w:t>
      </w:r>
      <w:r w:rsidR="00784D49">
        <w:rPr>
          <w:rFonts w:ascii="Arial" w:eastAsia="Times New Roman" w:hAnsi="Arial" w:cs="Arial"/>
          <w:lang w:eastAsia="de-DE"/>
        </w:rPr>
        <w:br/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§ 3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 xml:space="preserve">Entstehung der Gebührenschuld </w:t>
      </w:r>
    </w:p>
    <w:p w:rsidR="00784D49" w:rsidRDefault="00DE1F06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 xml:space="preserve">Die Teilnahme an der Ferienbetreuung kann jeweils vor den entsprechenden Ferien </w:t>
      </w:r>
      <w:r w:rsidRPr="00C1746F">
        <w:rPr>
          <w:rFonts w:ascii="Arial" w:eastAsia="Times New Roman" w:hAnsi="Arial" w:cs="Arial"/>
          <w:b/>
          <w:i/>
          <w:lang w:eastAsia="de-DE"/>
        </w:rPr>
        <w:t>wochenweise</w:t>
      </w:r>
      <w:r w:rsidRPr="00DE1F06">
        <w:rPr>
          <w:rFonts w:ascii="Arial" w:eastAsia="Times New Roman" w:hAnsi="Arial" w:cs="Arial"/>
          <w:lang w:eastAsia="de-DE"/>
        </w:rPr>
        <w:t xml:space="preserve"> gebucht werden.</w:t>
      </w: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784D49" w:rsidP="00DE1F06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</w:p>
    <w:p w:rsidR="00784D49" w:rsidRDefault="00DE1F06" w:rsidP="00EA43FD">
      <w:pPr>
        <w:spacing w:after="200" w:line="276" w:lineRule="auto"/>
        <w:ind w:left="426"/>
        <w:contextualSpacing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br/>
        <w:t xml:space="preserve">Die Gebührenpflicht entsteht mit der Zusage der Samtgemeinde aufgrund der abgegebenen Anmeldung durch die </w:t>
      </w:r>
      <w:r w:rsidR="003B2E46">
        <w:rPr>
          <w:rFonts w:ascii="Arial" w:eastAsia="Times New Roman" w:hAnsi="Arial" w:cs="Arial"/>
          <w:lang w:eastAsia="de-DE"/>
        </w:rPr>
        <w:t>Erziehungs</w:t>
      </w:r>
      <w:r w:rsidRPr="00DE1F06">
        <w:rPr>
          <w:rFonts w:ascii="Arial" w:eastAsia="Times New Roman" w:hAnsi="Arial" w:cs="Arial"/>
          <w:lang w:eastAsia="de-DE"/>
        </w:rPr>
        <w:t>berechtigten für das vorgehaltene Angebot.</w:t>
      </w:r>
      <w:r w:rsidRPr="00DE1F06">
        <w:rPr>
          <w:rFonts w:ascii="Arial" w:eastAsia="Times New Roman" w:hAnsi="Arial" w:cs="Arial"/>
          <w:lang w:eastAsia="de-DE"/>
        </w:rPr>
        <w:br/>
        <w:t xml:space="preserve">Für Zeiten, in denen die </w:t>
      </w:r>
      <w:r w:rsidR="00910E41">
        <w:rPr>
          <w:rFonts w:ascii="Arial" w:eastAsia="Times New Roman" w:hAnsi="Arial" w:cs="Arial"/>
          <w:lang w:eastAsia="de-DE"/>
        </w:rPr>
        <w:t>Ferienb</w:t>
      </w:r>
      <w:r w:rsidRPr="00DE1F06">
        <w:rPr>
          <w:rFonts w:ascii="Arial" w:eastAsia="Times New Roman" w:hAnsi="Arial" w:cs="Arial"/>
          <w:lang w:eastAsia="de-DE"/>
        </w:rPr>
        <w:t>etreuung nicht angeboten wird (z. B. höhere Gewalt), bleibt die Gebührenpflicht bestehen.</w:t>
      </w:r>
      <w:r w:rsidRPr="00DE1F06">
        <w:rPr>
          <w:rFonts w:ascii="Arial" w:eastAsia="Times New Roman" w:hAnsi="Arial" w:cs="Arial"/>
          <w:lang w:eastAsia="de-DE"/>
        </w:rPr>
        <w:br/>
      </w:r>
    </w:p>
    <w:p w:rsidR="00784D49" w:rsidRPr="00784D49" w:rsidRDefault="00784D49" w:rsidP="00784D49">
      <w:pPr>
        <w:spacing w:after="200" w:line="276" w:lineRule="auto"/>
        <w:ind w:left="426"/>
        <w:contextualSpacing/>
        <w:jc w:val="center"/>
        <w:rPr>
          <w:rFonts w:ascii="Arial" w:eastAsia="Times New Roman" w:hAnsi="Arial" w:cs="Arial"/>
          <w:b/>
          <w:lang w:eastAsia="de-DE"/>
        </w:rPr>
      </w:pPr>
      <w:r w:rsidRPr="00784D49">
        <w:rPr>
          <w:rFonts w:ascii="Arial" w:eastAsia="Times New Roman" w:hAnsi="Arial" w:cs="Arial"/>
          <w:b/>
          <w:lang w:eastAsia="de-DE"/>
        </w:rPr>
        <w:t>§ 4</w:t>
      </w:r>
    </w:p>
    <w:p w:rsidR="00784D49" w:rsidRDefault="00784D49" w:rsidP="00784D49">
      <w:pPr>
        <w:spacing w:after="200" w:line="276" w:lineRule="auto"/>
        <w:ind w:left="426"/>
        <w:contextualSpacing/>
        <w:jc w:val="center"/>
        <w:rPr>
          <w:rFonts w:ascii="Arial" w:eastAsia="Times New Roman" w:hAnsi="Arial" w:cs="Arial"/>
          <w:b/>
          <w:lang w:eastAsia="de-DE"/>
        </w:rPr>
      </w:pPr>
      <w:r w:rsidRPr="00784D49">
        <w:rPr>
          <w:rFonts w:ascii="Arial" w:eastAsia="Times New Roman" w:hAnsi="Arial" w:cs="Arial"/>
          <w:b/>
          <w:lang w:eastAsia="de-DE"/>
        </w:rPr>
        <w:t>Fälligkeit der Gebührenschuld</w:t>
      </w:r>
    </w:p>
    <w:p w:rsidR="00D358BE" w:rsidRPr="00784D49" w:rsidRDefault="00D358BE" w:rsidP="00784D49">
      <w:pPr>
        <w:spacing w:after="200" w:line="276" w:lineRule="auto"/>
        <w:ind w:left="426"/>
        <w:contextualSpacing/>
        <w:jc w:val="center"/>
        <w:rPr>
          <w:rFonts w:ascii="Arial" w:eastAsia="Times New Roman" w:hAnsi="Arial" w:cs="Arial"/>
          <w:b/>
          <w:lang w:eastAsia="de-DE"/>
        </w:rPr>
      </w:pPr>
    </w:p>
    <w:p w:rsidR="00DE1F06" w:rsidRPr="00DE1F06" w:rsidRDefault="00D358BE" w:rsidP="00784D49">
      <w:pPr>
        <w:spacing w:after="200" w:line="276" w:lineRule="auto"/>
        <w:ind w:left="426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 durch schriftlichen Bescheid festgesetzte Gebühr ist innerhalb von 4 Wochen nach Bekanntgabe des Bescheides zu entrichten</w:t>
      </w:r>
      <w:r w:rsidR="00784D49">
        <w:rPr>
          <w:rFonts w:ascii="Arial" w:eastAsia="Times New Roman" w:hAnsi="Arial" w:cs="Arial"/>
          <w:lang w:eastAsia="de-DE"/>
        </w:rPr>
        <w:t>.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 xml:space="preserve">§ </w:t>
      </w:r>
      <w:r w:rsidR="00784D49">
        <w:rPr>
          <w:rFonts w:ascii="Arial" w:eastAsia="Times New Roman" w:hAnsi="Arial" w:cs="Arial"/>
          <w:b/>
          <w:lang w:eastAsia="de-DE"/>
        </w:rPr>
        <w:t>5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Billigkeitsregelung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Ergibt sich aus der Anwendung dieser Satzung eine besondere Härte, so kann auf Antrag eine Billigkeitsregelung getroffen werden.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 xml:space="preserve">§ </w:t>
      </w:r>
      <w:r w:rsidR="00784D49">
        <w:rPr>
          <w:rFonts w:ascii="Arial" w:eastAsia="Times New Roman" w:hAnsi="Arial" w:cs="Arial"/>
          <w:b/>
          <w:lang w:eastAsia="de-DE"/>
        </w:rPr>
        <w:t>6</w:t>
      </w:r>
    </w:p>
    <w:p w:rsidR="00DE1F06" w:rsidRPr="00DE1F06" w:rsidRDefault="00DE1F06" w:rsidP="00DE1F06">
      <w:pPr>
        <w:spacing w:after="200" w:line="276" w:lineRule="auto"/>
        <w:ind w:left="360"/>
        <w:jc w:val="center"/>
        <w:rPr>
          <w:rFonts w:ascii="Arial" w:eastAsia="Times New Roman" w:hAnsi="Arial" w:cs="Arial"/>
          <w:b/>
          <w:lang w:eastAsia="de-DE"/>
        </w:rPr>
      </w:pPr>
      <w:r w:rsidRPr="00DE1F06">
        <w:rPr>
          <w:rFonts w:ascii="Arial" w:eastAsia="Times New Roman" w:hAnsi="Arial" w:cs="Arial"/>
          <w:b/>
          <w:lang w:eastAsia="de-DE"/>
        </w:rPr>
        <w:t>Inkrafttreten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 xml:space="preserve">Diese Satzung tritt zum 01.06.2024 in Kraft. 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Lemförde, den 27.02.2024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Der Samtgemeindebürgermeister</w:t>
      </w: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</w:p>
    <w:p w:rsidR="00DE1F06" w:rsidRPr="00DE1F06" w:rsidRDefault="00DE1F06" w:rsidP="00DE1F06">
      <w:pPr>
        <w:spacing w:after="200" w:line="276" w:lineRule="auto"/>
        <w:ind w:left="360"/>
        <w:rPr>
          <w:rFonts w:ascii="Arial" w:eastAsia="Times New Roman" w:hAnsi="Arial" w:cs="Arial"/>
          <w:lang w:eastAsia="de-DE"/>
        </w:rPr>
      </w:pPr>
      <w:r w:rsidRPr="00DE1F06">
        <w:rPr>
          <w:rFonts w:ascii="Arial" w:eastAsia="Times New Roman" w:hAnsi="Arial" w:cs="Arial"/>
          <w:lang w:eastAsia="de-DE"/>
        </w:rPr>
        <w:t>Mentrup</w:t>
      </w:r>
    </w:p>
    <w:p w:rsidR="00C55311" w:rsidRDefault="00C55311"/>
    <w:sectPr w:rsidR="00C5531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6" w:rsidRDefault="003B2E46">
      <w:pPr>
        <w:spacing w:after="0" w:line="240" w:lineRule="auto"/>
      </w:pPr>
      <w:r>
        <w:separator/>
      </w:r>
    </w:p>
  </w:endnote>
  <w:endnote w:type="continuationSeparator" w:id="0">
    <w:p w:rsidR="00756356" w:rsidRDefault="003B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311" w:rsidRPr="00C97DD4" w:rsidRDefault="00D2369C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6" w:rsidRDefault="003B2E46">
      <w:pPr>
        <w:spacing w:after="0" w:line="240" w:lineRule="auto"/>
      </w:pPr>
      <w:r>
        <w:separator/>
      </w:r>
    </w:p>
  </w:footnote>
  <w:footnote w:type="continuationSeparator" w:id="0">
    <w:p w:rsidR="00756356" w:rsidRDefault="003B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8278A"/>
    <w:multiLevelType w:val="hybridMultilevel"/>
    <w:tmpl w:val="EBC69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06"/>
    <w:rsid w:val="003B2E46"/>
    <w:rsid w:val="00575E3B"/>
    <w:rsid w:val="00756356"/>
    <w:rsid w:val="00784D49"/>
    <w:rsid w:val="00910E41"/>
    <w:rsid w:val="00C1746F"/>
    <w:rsid w:val="00C17742"/>
    <w:rsid w:val="00C55311"/>
    <w:rsid w:val="00D2369C"/>
    <w:rsid w:val="00D358BE"/>
    <w:rsid w:val="00DE1F06"/>
    <w:rsid w:val="00EA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715D"/>
  <w15:chartTrackingRefBased/>
  <w15:docId w15:val="{C236E42C-3141-4BAA-928D-DD730E6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F06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semiHidden/>
    <w:unhideWhenUsed/>
    <w:rsid w:val="00DE1F06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1F06"/>
    <w:rPr>
      <w:rFonts w:ascii="Calibri" w:eastAsia="Times New Roman" w:hAnsi="Calibri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Richmann, Frank</dc:creator>
  <cp:keywords/>
  <dc:description/>
  <cp:lastModifiedBy>Richmann, Frank</cp:lastModifiedBy>
  <cp:revision>4</cp:revision>
  <cp:lastPrinted>2024-02-02T10:51:00Z</cp:lastPrinted>
  <dcterms:created xsi:type="dcterms:W3CDTF">2024-02-02T11:10:00Z</dcterms:created>
  <dcterms:modified xsi:type="dcterms:W3CDTF">2024-02-05T08:08:00Z</dcterms:modified>
</cp:coreProperties>
</file>